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960E95">
        <w:rPr>
          <w:sz w:val="24"/>
          <w:szCs w:val="24"/>
        </w:rPr>
        <w:t>д</w:t>
      </w:r>
      <w:r w:rsidR="0069128E">
        <w:rPr>
          <w:sz w:val="24"/>
          <w:szCs w:val="24"/>
        </w:rPr>
        <w:t>діл обслуговування громадян № 12</w:t>
      </w:r>
      <w:r w:rsidRPr="00687780">
        <w:rPr>
          <w:sz w:val="24"/>
          <w:szCs w:val="24"/>
        </w:rPr>
        <w:t xml:space="preserve"> (сервісний центр)</w:t>
      </w:r>
      <w:r w:rsidR="00FE2CE7" w:rsidRPr="00FE2CE7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69128E" w:rsidP="00755D27">
            <w:pPr>
              <w:pStyle w:val="TableParagraph"/>
              <w:ind w:firstLine="510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391917">
                <w:rPr>
                  <w:i/>
                  <w:sz w:val="26"/>
                  <w:szCs w:val="26"/>
                </w:rPr>
                <w:t>19201, м</w:t>
              </w:r>
            </w:smartTag>
            <w:r w:rsidRPr="00391917">
              <w:rPr>
                <w:i/>
                <w:sz w:val="26"/>
                <w:szCs w:val="26"/>
              </w:rPr>
              <w:t>. Жашків, вул. Лікарняна, 5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344879" w:rsidRPr="00FF0370" w:rsidRDefault="00344879" w:rsidP="0034487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344879" w:rsidP="00344879">
            <w:pPr>
              <w:pStyle w:val="TableParagraph"/>
              <w:ind w:firstLine="510"/>
              <w:rPr>
                <w:sz w:val="26"/>
              </w:rPr>
            </w:pP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69128E" w:rsidRDefault="0069128E" w:rsidP="0069128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(04747) 6 21 05</w:t>
            </w:r>
          </w:p>
          <w:p w:rsidR="0069128E" w:rsidRDefault="0069128E" w:rsidP="0069128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69128E" w:rsidRDefault="0069128E" w:rsidP="0069128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69128E" w:rsidP="0069128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9" w:history="1">
              <w:r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2C2" w:rsidRDefault="00DD32C2" w:rsidP="006376E3">
      <w:r>
        <w:separator/>
      </w:r>
    </w:p>
  </w:endnote>
  <w:endnote w:type="continuationSeparator" w:id="0">
    <w:p w:rsidR="00DD32C2" w:rsidRDefault="00DD32C2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2C2" w:rsidRDefault="00DD32C2" w:rsidP="006376E3">
      <w:r>
        <w:separator/>
      </w:r>
    </w:p>
  </w:footnote>
  <w:footnote w:type="continuationSeparator" w:id="0">
    <w:p w:rsidR="00DD32C2" w:rsidRDefault="00DD32C2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FE2CE7">
    <w:pPr>
      <w:pStyle w:val="a3"/>
      <w:spacing w:line="14" w:lineRule="auto"/>
      <w:rPr>
        <w:b w:val="0"/>
        <w:sz w:val="20"/>
      </w:rPr>
    </w:pPr>
    <w:r w:rsidRPr="00FE2CE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FE2CE7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1064B9">
                  <w:rPr>
                    <w:noProof/>
                    <w:spacing w:val="-10"/>
                    <w:sz w:val="26"/>
                  </w:rPr>
                  <w:t>5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99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46664"/>
    <w:rsid w:val="0007612B"/>
    <w:rsid w:val="00084CEA"/>
    <w:rsid w:val="00095D66"/>
    <w:rsid w:val="000A560E"/>
    <w:rsid w:val="000B3CA4"/>
    <w:rsid w:val="000E25B7"/>
    <w:rsid w:val="00104D97"/>
    <w:rsid w:val="001064B9"/>
    <w:rsid w:val="00112C34"/>
    <w:rsid w:val="001312B1"/>
    <w:rsid w:val="001455CE"/>
    <w:rsid w:val="0014793B"/>
    <w:rsid w:val="0015694D"/>
    <w:rsid w:val="0017063C"/>
    <w:rsid w:val="001A2C4A"/>
    <w:rsid w:val="001C201C"/>
    <w:rsid w:val="001D0C9A"/>
    <w:rsid w:val="001F421E"/>
    <w:rsid w:val="002121C7"/>
    <w:rsid w:val="00223C2A"/>
    <w:rsid w:val="00234101"/>
    <w:rsid w:val="00294F18"/>
    <w:rsid w:val="002A1EBC"/>
    <w:rsid w:val="002D1187"/>
    <w:rsid w:val="00344879"/>
    <w:rsid w:val="003838EC"/>
    <w:rsid w:val="00392262"/>
    <w:rsid w:val="003A2B9C"/>
    <w:rsid w:val="003F2099"/>
    <w:rsid w:val="00411B13"/>
    <w:rsid w:val="00415E5D"/>
    <w:rsid w:val="00436734"/>
    <w:rsid w:val="004A20E6"/>
    <w:rsid w:val="004A5658"/>
    <w:rsid w:val="005140D7"/>
    <w:rsid w:val="005353C4"/>
    <w:rsid w:val="00547E6E"/>
    <w:rsid w:val="005A4A8D"/>
    <w:rsid w:val="005D4479"/>
    <w:rsid w:val="005E78D1"/>
    <w:rsid w:val="00624D8D"/>
    <w:rsid w:val="006376E3"/>
    <w:rsid w:val="00687780"/>
    <w:rsid w:val="0069128E"/>
    <w:rsid w:val="006A5390"/>
    <w:rsid w:val="006B0254"/>
    <w:rsid w:val="006C1D3C"/>
    <w:rsid w:val="006E7468"/>
    <w:rsid w:val="00714856"/>
    <w:rsid w:val="00724428"/>
    <w:rsid w:val="00734D40"/>
    <w:rsid w:val="007479BC"/>
    <w:rsid w:val="007503B9"/>
    <w:rsid w:val="00755D27"/>
    <w:rsid w:val="00764250"/>
    <w:rsid w:val="0078007E"/>
    <w:rsid w:val="007B5557"/>
    <w:rsid w:val="007B61FC"/>
    <w:rsid w:val="007C088B"/>
    <w:rsid w:val="007E36FF"/>
    <w:rsid w:val="00823E6D"/>
    <w:rsid w:val="00872B5A"/>
    <w:rsid w:val="00873913"/>
    <w:rsid w:val="008B7F9E"/>
    <w:rsid w:val="008D5D31"/>
    <w:rsid w:val="009036D2"/>
    <w:rsid w:val="00911DD1"/>
    <w:rsid w:val="0091440C"/>
    <w:rsid w:val="00960E95"/>
    <w:rsid w:val="00982C54"/>
    <w:rsid w:val="009B76AB"/>
    <w:rsid w:val="009E4251"/>
    <w:rsid w:val="00A160F7"/>
    <w:rsid w:val="00A440CE"/>
    <w:rsid w:val="00A75AA5"/>
    <w:rsid w:val="00A95CF4"/>
    <w:rsid w:val="00A975D7"/>
    <w:rsid w:val="00AC25AD"/>
    <w:rsid w:val="00AE3368"/>
    <w:rsid w:val="00B1335F"/>
    <w:rsid w:val="00B975EE"/>
    <w:rsid w:val="00BD212C"/>
    <w:rsid w:val="00BE52D1"/>
    <w:rsid w:val="00C15B8B"/>
    <w:rsid w:val="00C22EFB"/>
    <w:rsid w:val="00C53467"/>
    <w:rsid w:val="00C667FF"/>
    <w:rsid w:val="00D009BD"/>
    <w:rsid w:val="00D24BB5"/>
    <w:rsid w:val="00D507AC"/>
    <w:rsid w:val="00D603D1"/>
    <w:rsid w:val="00DD32C2"/>
    <w:rsid w:val="00E1050F"/>
    <w:rsid w:val="00E1290D"/>
    <w:rsid w:val="00E23940"/>
    <w:rsid w:val="00E3442C"/>
    <w:rsid w:val="00E4305C"/>
    <w:rsid w:val="00E539C1"/>
    <w:rsid w:val="00E81E10"/>
    <w:rsid w:val="00E92477"/>
    <w:rsid w:val="00E95D2C"/>
    <w:rsid w:val="00EA1D89"/>
    <w:rsid w:val="00EB72C5"/>
    <w:rsid w:val="00ED21CE"/>
    <w:rsid w:val="00F0503D"/>
    <w:rsid w:val="00F40689"/>
    <w:rsid w:val="00F45D5C"/>
    <w:rsid w:val="00F84826"/>
    <w:rsid w:val="00F87E09"/>
    <w:rsid w:val="00F9657C"/>
    <w:rsid w:val="00FC3C01"/>
    <w:rsid w:val="00FD58B1"/>
    <w:rsid w:val="00FE2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7_2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5C5E6-C0FB-4C46-9F21-0A530DF33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6206</Words>
  <Characters>3538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OBG06</cp:lastModifiedBy>
  <cp:revision>3</cp:revision>
  <dcterms:created xsi:type="dcterms:W3CDTF">2024-05-24T06:27:00Z</dcterms:created>
  <dcterms:modified xsi:type="dcterms:W3CDTF">2024-05-24T06:28:00Z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